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180分钟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（样题9）</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产品中的卷笔刀头安装轴套零件（附件1装配简图中件1</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对产品的实物关键部位进行测量获取产品重要尺寸信息。利用通用测量工具，手工测量产品中的锁紧机构的壳体（附件1装配简图中件</w:t>
      </w:r>
      <w:r>
        <w:rPr>
          <w:rFonts w:ascii="仿宋_GB2312" w:hAnsi="仿宋_GB2312" w:eastAsia="仿宋_GB2312" w:cs="仿宋_GB2312"/>
          <w:sz w:val="28"/>
          <w:szCs w:val="28"/>
        </w:rPr>
        <w:t>6</w:t>
      </w:r>
      <w:r>
        <w:rPr>
          <w:rFonts w:hint="eastAsia" w:ascii="仿宋_GB2312" w:hAnsi="仿宋_GB2312" w:eastAsia="仿宋_GB2312" w:cs="仿宋_GB2312"/>
          <w:sz w:val="28"/>
          <w:szCs w:val="28"/>
        </w:rPr>
        <w:t>和7），根据使用功能和安装要求确定产品零件重要部位的尺寸精度和几何公差。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spacing w:line="360" w:lineRule="auto"/>
        <w:ind w:firstLine="562" w:firstLineChars="200"/>
        <w:rPr>
          <w:rFonts w:ascii="仿宋_GB2312" w:hAnsi="仿宋_GB2312" w:eastAsia="仿宋_GB2312" w:cs="仿宋_GB2312"/>
          <w:b/>
          <w:bCs/>
          <w:kern w:val="0"/>
          <w:sz w:val="28"/>
          <w:szCs w:val="28"/>
        </w:rPr>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卷笔刀头安装轴套</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w:t>
      </w:r>
      <w:r>
        <w:rPr>
          <w:rFonts w:ascii="仿宋_GB2312" w:hAnsi="仿宋_GB2312" w:eastAsia="仿宋_GB2312" w:cs="仿宋_GB2312"/>
          <w:bCs/>
          <w:color w:val="000000" w:themeColor="text1"/>
          <w:sz w:val="28"/>
          <w:szCs w:val="28"/>
          <w14:textFill>
            <w14:solidFill>
              <w14:schemeClr w14:val="tx1"/>
            </w14:solidFill>
          </w14:textFill>
        </w:rPr>
        <w:t>2</w:t>
      </w:r>
      <w:r>
        <w:rPr>
          <w:rFonts w:hint="eastAsia" w:ascii="仿宋_GB2312" w:hAnsi="仿宋_GB2312" w:eastAsia="仿宋_GB2312" w:cs="仿宋_GB2312"/>
          <w:bCs/>
          <w:color w:val="000000" w:themeColor="text1"/>
          <w:sz w:val="28"/>
          <w:szCs w:val="28"/>
          <w14:textFill>
            <w14:solidFill>
              <w14:schemeClr w14:val="tx1"/>
            </w14:solidFill>
          </w14:textFill>
        </w:rPr>
        <w:t>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sz w:val="28"/>
          <w:szCs w:val="28"/>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sz w:val="28"/>
          <w:szCs w:val="28"/>
        </w:rPr>
        <w:t>（</w:t>
      </w:r>
      <w:r>
        <w:rPr>
          <w:rFonts w:ascii="仿宋_GB2312" w:hAnsi="仿宋_GB2312" w:eastAsia="仿宋_GB2312" w:cs="仿宋_GB2312"/>
          <w:b/>
          <w:sz w:val="28"/>
          <w:szCs w:val="28"/>
        </w:rPr>
        <w:t>3</w:t>
      </w:r>
      <w:r>
        <w:rPr>
          <w:rFonts w:hint="eastAsia" w:ascii="仿宋_GB2312" w:hAnsi="仿宋_GB2312" w:eastAsia="仿宋_GB2312" w:cs="仿宋_GB2312"/>
          <w:b/>
          <w:sz w:val="28"/>
          <w:szCs w:val="28"/>
        </w:rPr>
        <w:t>0分）</w:t>
      </w:r>
    </w:p>
    <w:p>
      <w:pPr>
        <w:autoSpaceDE w:val="0"/>
        <w:autoSpaceDN w:val="0"/>
        <w:adjustRightInd w:val="0"/>
        <w:spacing w:line="360" w:lineRule="auto"/>
        <w:ind w:firstLine="560" w:firstLineChars="200"/>
        <w:jc w:val="left"/>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子任务1：为获得比较合理的切削转速，为电机输出端设计一个减速机构，电机转速</w:t>
      </w:r>
      <w:r>
        <w:rPr>
          <w:rFonts w:ascii="仿宋_GB2312" w:hAnsi="仿宋_GB2312" w:eastAsia="仿宋_GB2312" w:cs="仿宋_GB2312"/>
          <w:sz w:val="28"/>
          <w:szCs w:val="28"/>
        </w:rPr>
        <w:t>9000r/min</w:t>
      </w:r>
      <w:r>
        <w:rPr>
          <w:rFonts w:hint="eastAsia" w:ascii="仿宋_GB2312" w:hAnsi="仿宋_GB2312" w:eastAsia="仿宋_GB2312" w:cs="仿宋_GB2312"/>
          <w:sz w:val="28"/>
          <w:szCs w:val="28"/>
        </w:rPr>
        <w:t>，传动比1</w:t>
      </w:r>
      <w:r>
        <w:rPr>
          <w:rFonts w:ascii="仿宋_GB2312" w:hAnsi="仿宋_GB2312" w:eastAsia="仿宋_GB2312" w:cs="仿宋_GB2312"/>
          <w:sz w:val="28"/>
          <w:szCs w:val="28"/>
        </w:rPr>
        <w:t>8</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30</w:t>
      </w:r>
      <w:r>
        <w:rPr>
          <w:rFonts w:hint="eastAsia" w:ascii="仿宋_GB2312" w:hAnsi="仿宋_GB2312" w:eastAsia="仿宋_GB2312" w:cs="仿宋_GB2312"/>
          <w:sz w:val="28"/>
          <w:szCs w:val="28"/>
        </w:rPr>
        <w:t>；为保证铅笔在卷削过程中圆周和轴向方向固定，设计一个铅笔的锁紧机构（附件1装配简图中件7），生成优化后的传动机构以及安装配合体的三维模型。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子任务2：对锁紧气缸连杆进行有限元力学分析；将优化后的三维零件重新虚拟装配，完成铅笔机的运动仿真并对产品创新设计进行验证。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（1）传动机构、锁紧</w:t>
      </w:r>
      <w:r>
        <w:rPr>
          <w:rFonts w:hint="eastAsia" w:ascii="仿宋_GB2312" w:hAnsi="仿宋_GB2312" w:eastAsia="仿宋_GB2312" w:cs="仿宋_GB2312"/>
          <w:sz w:val="28"/>
          <w:szCs w:val="28"/>
        </w:rPr>
        <w:t>机构优化之后使得结构紧凑、美观、合理，并符合加工的可行性、工艺性、经济性等；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对锁紧气缸连杆选择合适的材料、分析受力情况、设置合理的边界和约束条件，进行有限元分析，生成应力云图。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3</w:t>
      </w:r>
      <w:r>
        <w:rPr>
          <w:rFonts w:hint="eastAsia" w:ascii="仿宋_GB2312" w:hAnsi="仿宋_GB2312" w:eastAsia="仿宋_GB2312" w:cs="仿宋_GB2312"/>
          <w:kern w:val="0"/>
          <w:sz w:val="28"/>
          <w:szCs w:val="28"/>
        </w:rPr>
        <w:t>）</w:t>
      </w:r>
      <w:r>
        <w:rPr>
          <w:rFonts w:hint="eastAsia" w:ascii="仿宋_GB2312" w:hAnsi="仿宋_GB2312" w:eastAsia="仿宋_GB2312" w:cs="仿宋_GB2312"/>
          <w:sz w:val="28"/>
          <w:szCs w:val="28"/>
        </w:rPr>
        <w:t>根据该铅笔机的工作原理对整个装配体进行虚拟运动仿真，展示铅笔机的工作过程，机构运行情况，并导出产品360°旋转展示动画，时长10-15秒。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（1）传动机构、锁紧</w:t>
      </w:r>
      <w:r>
        <w:rPr>
          <w:rFonts w:hint="eastAsia" w:ascii="仿宋_GB2312" w:hAnsi="仿宋_GB2312" w:eastAsia="仿宋_GB2312" w:cs="仿宋_GB2312"/>
          <w:sz w:val="28"/>
          <w:szCs w:val="28"/>
        </w:rPr>
        <w:t>机构（优化后的三维模型）</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（2）铅笔机的</w:t>
      </w:r>
      <w:r>
        <w:rPr>
          <w:rFonts w:hint="eastAsia" w:ascii="仿宋_GB2312" w:hAnsi="仿宋_GB2312" w:eastAsia="仿宋_GB2312" w:cs="仿宋_GB2312"/>
          <w:kern w:val="0"/>
          <w:sz w:val="28"/>
          <w:szCs w:val="28"/>
          <w:lang w:bidi="th-TH"/>
        </w:rPr>
        <w:t>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锁紧气缸连杆</w:t>
      </w:r>
      <w:r>
        <w:rPr>
          <w:rFonts w:hint="eastAsia" w:ascii="仿宋_GB2312" w:hAnsi="仿宋_GB2312" w:eastAsia="仿宋_GB2312" w:cs="仿宋_GB2312"/>
          <w:kern w:val="0"/>
          <w:sz w:val="28"/>
        </w:rPr>
        <w:t>的</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w:t>
      </w:r>
      <w:r>
        <w:rPr>
          <w:rFonts w:ascii="仿宋_GB2312" w:hAnsi="仿宋_GB2312" w:eastAsia="仿宋_GB2312" w:cs="仿宋_GB2312"/>
          <w:b/>
          <w:bCs/>
          <w:spacing w:val="0"/>
          <w:sz w:val="28"/>
          <w:szCs w:val="28"/>
        </w:rPr>
        <w:t>2</w:t>
      </w:r>
      <w:r>
        <w:rPr>
          <w:rFonts w:hint="eastAsia" w:ascii="仿宋_GB2312" w:hAnsi="仿宋_GB2312" w:eastAsia="仿宋_GB2312" w:cs="仿宋_GB2312"/>
          <w:b/>
          <w:bCs/>
          <w:spacing w:val="0"/>
          <w:sz w:val="28"/>
          <w:szCs w:val="28"/>
        </w:rPr>
        <w:t>0分）</w:t>
      </w:r>
    </w:p>
    <w:p>
      <w:pPr>
        <w:autoSpaceDE w:val="0"/>
        <w:autoSpaceDN w:val="0"/>
        <w:adjustRightInd w:val="0"/>
        <w:spacing w:line="360" w:lineRule="auto"/>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情境描述：请你以机械设计工程人员的角色，根据任务二生成的产品三维模型，完成以下2项子任务：</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w:t>
      </w:r>
      <w:r>
        <w:rPr>
          <w:rFonts w:hint="eastAsia" w:ascii="仿宋_GB2312" w:hAnsi="仿宋_GB2312" w:eastAsia="仿宋_GB2312" w:cs="仿宋_GB2312"/>
          <w:kern w:val="0"/>
          <w:sz w:val="28"/>
          <w:szCs w:val="28"/>
        </w:rPr>
        <w:t>传动机构、锁紧</w:t>
      </w:r>
      <w:r>
        <w:rPr>
          <w:rFonts w:hint="eastAsia" w:ascii="仿宋_GB2312" w:hAnsi="仿宋_GB2312" w:eastAsia="仿宋_GB2312" w:cs="仿宋_GB2312"/>
          <w:sz w:val="28"/>
          <w:szCs w:val="28"/>
        </w:rPr>
        <w:t>机构的二</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维工程图。</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须符合技术制图与机械制图的国家标准中的规定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运动仿真包含铅笔机的整个运动过程。</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hint="eastAsia"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（3）传动机构、锁紧</w:t>
      </w:r>
      <w:r>
        <w:rPr>
          <w:rFonts w:hint="eastAsia" w:ascii="仿宋_GB2312" w:hAnsi="仿宋_GB2312" w:eastAsia="仿宋_GB2312" w:cs="仿宋_GB2312"/>
          <w:sz w:val="28"/>
          <w:szCs w:val="28"/>
        </w:rPr>
        <w:t>机构（创新设计后）的相关零件的二维工程图，源文件格式和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bookmarkStart w:id="0" w:name="_GoBack"/>
      <w:bookmarkEnd w:id="0"/>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firstLine="562" w:firstLineChars="200"/>
        <w:jc w:val="both"/>
        <w:rPr>
          <w:rFonts w:ascii="Calibri" w:hAnsi="Calibri" w:eastAsiaTheme="minorEastAsia"/>
          <w:color w:val="C00000"/>
          <w:szCs w:val="24"/>
        </w:rPr>
      </w:pPr>
      <w:r>
        <w:rPr>
          <w:rFonts w:hint="eastAsia" w:ascii="仿宋_GB2312" w:hAnsi="仿宋_GB2312" w:eastAsia="仿宋_GB2312" w:cs="仿宋_GB2312"/>
          <w:b/>
          <w:color w:val="C00000"/>
          <w:sz w:val="28"/>
          <w:szCs w:val="28"/>
        </w:rPr>
        <w:t>（样题仅作示例，具体参见正式竞赛任务书）</w:t>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r>
        <w:rPr>
          <w:rFonts w:ascii="宋体" w:hAnsi="宋体" w:cs="宋体"/>
          <w:kern w:val="0"/>
          <w:sz w:val="24"/>
        </w:rPr>
        <w:drawing>
          <wp:inline distT="0" distB="0" distL="0" distR="0">
            <wp:extent cx="6000115" cy="4359275"/>
            <wp:effectExtent l="0" t="0" r="635" b="3175"/>
            <wp:docPr id="1" name="图片 1" descr="C:\Users\WANGJUN\AppData\Roaming\Tencent\Users\179341475\QQ\WinTemp\RichOle\WRQ2KWC3R}YO[14__4P`F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ANGJUN\AppData\Roaming\Tencent\Users\179341475\QQ\WinTemp\RichOle\WRQ2KWC3R}YO[14__4P`FBC.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010640" cy="4367183"/>
                    </a:xfrm>
                    <a:prstGeom prst="rect">
                      <a:avLst/>
                    </a:prstGeom>
                    <a:noFill/>
                    <a:ln>
                      <a:noFill/>
                    </a:ln>
                  </pic:spPr>
                </pic:pic>
              </a:graphicData>
            </a:graphic>
          </wp:inline>
        </w:drawing>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w:t>
      </w:r>
      <w:r>
        <w:rPr>
          <w:rFonts w:ascii="仿宋_GB2312" w:hAnsi="仿宋_GB2312" w:eastAsia="仿宋_GB2312" w:cs="仿宋_GB2312"/>
          <w:b/>
          <w:color w:val="000000" w:themeColor="text1"/>
          <w:sz w:val="28"/>
          <w:szCs w:val="28"/>
          <w14:textFill>
            <w14:solidFill>
              <w14:schemeClr w14:val="tx1"/>
            </w14:solidFill>
          </w14:textFill>
        </w:rPr>
        <w:t xml:space="preserve"> </w:t>
      </w:r>
      <w:r>
        <w:rPr>
          <w:rFonts w:hint="eastAsia" w:ascii="仿宋_GB2312" w:hAnsi="仿宋_GB2312" w:eastAsia="仿宋_GB2312" w:cs="仿宋_GB2312"/>
          <w:b/>
          <w:color w:val="000000" w:themeColor="text1"/>
          <w:sz w:val="28"/>
          <w:szCs w:val="28"/>
          <w14:textFill>
            <w14:solidFill>
              <w14:schemeClr w14:val="tx1"/>
            </w14:solidFill>
          </w14:textFill>
        </w:rPr>
        <w:t xml:space="preserve">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请选手根据结构机构运动的工况，在工作状态下某传动轴的有限元分析，并完成下表的填空。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
          </w:tcPr>
          <w:p>
            <w:pPr>
              <w:pStyle w:val="2"/>
              <w:ind w:left="0" w:firstLine="0"/>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p>
            <w:pPr>
              <w:rPr>
                <w:rFonts w:cs="Calibri"/>
              </w:rPr>
            </w:pPr>
          </w:p>
          <w:p>
            <w:pPr>
              <w:pStyle w:val="2"/>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步骤</w:t>
            </w:r>
          </w:p>
        </w:tc>
        <w:tc>
          <w:tcPr>
            <w:tcW w:w="693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vAlign w:val="center"/>
          </w:tcPr>
          <w:p>
            <w:pPr>
              <w:pStyle w:val="2"/>
              <w:ind w:left="0" w:firstLine="0"/>
              <w:rPr>
                <w:rFonts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黑体"/>
          <w:b/>
          <w:sz w:val="24"/>
        </w:rPr>
      </w:pPr>
      <w:r>
        <w:rPr>
          <w:rFonts w:hint="eastAsia" w:ascii="黑体" w:hAnsi="黑体" w:eastAsia="黑体" w:cs="黑体"/>
          <w:b/>
          <w:sz w:val="24"/>
        </w:rPr>
        <w:t>表</w:t>
      </w:r>
      <w:r>
        <w:rPr>
          <w:rFonts w:ascii="黑体" w:hAnsi="黑体" w:eastAsia="黑体" w:cs="黑体"/>
          <w:b/>
          <w:sz w:val="24"/>
        </w:rPr>
        <w:t xml:space="preserve">1 </w:t>
      </w:r>
      <w:r>
        <w:rPr>
          <w:rFonts w:hint="eastAsia" w:ascii="黑体" w:hAnsi="黑体" w:eastAsia="黑体" w:cs="黑体"/>
          <w:b/>
          <w:sz w:val="24"/>
        </w:rPr>
        <w:t>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cs="黑体"/>
                <w:sz w:val="24"/>
              </w:rPr>
            </w:pPr>
            <w:r>
              <w:rPr>
                <w:rFonts w:hint="eastAsia" w:ascii="黑体" w:hAnsi="黑体" w:eastAsia="黑体" w:cs="黑体"/>
                <w:sz w:val="24"/>
              </w:rPr>
              <w:t>序号</w:t>
            </w:r>
          </w:p>
        </w:tc>
        <w:tc>
          <w:tcPr>
            <w:tcW w:w="1702" w:type="dxa"/>
            <w:vAlign w:val="center"/>
          </w:tcPr>
          <w:p>
            <w:pPr>
              <w:pStyle w:val="22"/>
              <w:spacing w:before="105"/>
              <w:ind w:left="361" w:right="330"/>
              <w:rPr>
                <w:rFonts w:ascii="黑体" w:hAnsi="黑体" w:eastAsia="黑体" w:cs="黑体"/>
                <w:sz w:val="24"/>
              </w:rPr>
            </w:pPr>
            <w:r>
              <w:rPr>
                <w:rFonts w:hint="eastAsia" w:ascii="黑体" w:hAnsi="黑体" w:eastAsia="黑体" w:cs="黑体"/>
                <w:sz w:val="24"/>
              </w:rPr>
              <w:t>项目</w:t>
            </w:r>
          </w:p>
        </w:tc>
        <w:tc>
          <w:tcPr>
            <w:tcW w:w="6512" w:type="dxa"/>
            <w:gridSpan w:val="3"/>
            <w:vAlign w:val="center"/>
          </w:tcPr>
          <w:p>
            <w:pPr>
              <w:pStyle w:val="22"/>
              <w:spacing w:before="105"/>
              <w:ind w:left="2515" w:right="2507"/>
              <w:rPr>
                <w:rFonts w:ascii="黑体" w:hAnsi="黑体" w:eastAsia="黑体" w:cs="黑体"/>
                <w:sz w:val="24"/>
              </w:rPr>
            </w:pPr>
            <w:r>
              <w:rPr>
                <w:rFonts w:hint="eastAsia" w:ascii="黑体" w:hAnsi="黑体" w:eastAsia="黑体" w:cs="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传动机构</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 xml:space="preserve">锁紧机构 </w:t>
            </w:r>
          </w:p>
        </w:tc>
        <w:tc>
          <w:tcPr>
            <w:tcW w:w="2214" w:type="dxa"/>
            <w:tcBorders>
              <w:left w:val="single" w:color="auto" w:sz="4" w:space="0"/>
            </w:tcBorders>
            <w:vAlign w:val="center"/>
          </w:tcPr>
          <w:p>
            <w:pPr>
              <w:pStyle w:val="22"/>
              <w:spacing w:before="129"/>
              <w:rPr>
                <w:rFonts w:ascii="仿宋" w:eastAsia="仿宋"/>
                <w:sz w:val="24"/>
              </w:rPr>
            </w:pPr>
            <w:r>
              <w:rPr>
                <w:rFonts w:hint="eastAsia" w:ascii="仿宋" w:eastAsia="仿宋"/>
                <w:sz w:val="24"/>
              </w:rPr>
              <w:t>装配图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ascii="仿宋"/>
                <w:sz w:val="24"/>
              </w:rPr>
              <w:t>QBJ-**</w:t>
            </w:r>
          </w:p>
        </w:tc>
        <w:tc>
          <w:tcPr>
            <w:tcW w:w="2126" w:type="dxa"/>
            <w:tcBorders>
              <w:right w:val="single" w:color="auto" w:sz="4" w:space="0"/>
            </w:tcBorders>
            <w:vAlign w:val="center"/>
          </w:tcPr>
          <w:p>
            <w:pPr>
              <w:pStyle w:val="22"/>
              <w:spacing w:before="148"/>
              <w:rPr>
                <w:rFonts w:ascii="仿宋"/>
                <w:sz w:val="24"/>
              </w:rPr>
            </w:pPr>
            <w:r>
              <w:rPr>
                <w:rFonts w:ascii="仿宋"/>
                <w:sz w:val="24"/>
              </w:rPr>
              <w:t>QBJ-**</w:t>
            </w:r>
          </w:p>
        </w:tc>
        <w:tc>
          <w:tcPr>
            <w:tcW w:w="2214" w:type="dxa"/>
            <w:tcBorders>
              <w:left w:val="single" w:color="auto" w:sz="4" w:space="0"/>
            </w:tcBorders>
            <w:vAlign w:val="center"/>
          </w:tcPr>
          <w:p>
            <w:pPr>
              <w:pStyle w:val="22"/>
              <w:spacing w:before="148"/>
              <w:rPr>
                <w:rFonts w:ascii="仿宋"/>
                <w:sz w:val="24"/>
              </w:rPr>
            </w:pPr>
            <w:r>
              <w:rPr>
                <w:rFonts w:hint="eastAsia" w:ascii="仿宋"/>
                <w:sz w:val="24"/>
              </w:rPr>
              <w:t>M</w:t>
            </w:r>
            <w:r>
              <w:rPr>
                <w:rFonts w:ascii="仿宋"/>
                <w:sz w:val="24"/>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w:t>
      </w:r>
      <w:r>
        <w:rPr>
          <w:rFonts w:hint="eastAsia" w:ascii="仿宋_GB2312" w:eastAsia="仿宋_GB2312" w:hAnsiTheme="minorEastAsia"/>
          <w:sz w:val="28"/>
          <w:szCs w:val="28"/>
        </w:rPr>
        <w:t>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w:t>
      </w:r>
      <w:r>
        <w:rPr>
          <w:rFonts w:ascii="仿宋_GB2312" w:eastAsia="仿宋_GB2312" w:hAnsiTheme="minorEastAsia"/>
          <w:sz w:val="28"/>
          <w:szCs w:val="28"/>
        </w:rPr>
        <w:t>.</w:t>
      </w:r>
      <w:r>
        <w:rPr>
          <w:rFonts w:hint="eastAsia" w:ascii="仿宋_GB2312" w:eastAsia="仿宋_GB2312" w:hAnsiTheme="minorEastAsia"/>
          <w:sz w:val="28"/>
          <w:szCs w:val="28"/>
        </w:rPr>
        <w:t>结合装配运动仿真，展示创新设计后的铅笔机；</w:t>
      </w:r>
    </w:p>
    <w:p>
      <w:pPr>
        <w:spacing w:line="360" w:lineRule="auto"/>
        <w:ind w:firstLine="560" w:firstLineChars="200"/>
        <w:rPr>
          <w:rFonts w:ascii="仿宋_GB2312" w:eastAsia="仿宋_GB2312" w:hAnsiTheme="minorEastAsia"/>
          <w:sz w:val="28"/>
          <w:szCs w:val="28"/>
        </w:rPr>
      </w:pPr>
      <w:r>
        <w:rPr>
          <w:rFonts w:ascii="仿宋_GB2312" w:eastAsia="仿宋_GB2312" w:hAnsiTheme="minorEastAsia"/>
          <w:sz w:val="28"/>
          <w:szCs w:val="28"/>
        </w:rPr>
        <w:t>4.</w:t>
      </w:r>
      <w:r>
        <w:rPr>
          <w:rFonts w:hint="eastAsia" w:ascii="仿宋_GB2312" w:eastAsia="仿宋_GB2312" w:hAnsiTheme="minorEastAsia"/>
          <w:sz w:val="28"/>
          <w:szCs w:val="28"/>
        </w:rPr>
        <w:t>结合附件2有限元力学分析结果，如有改进需要，进一步说明改进方案。</w:t>
      </w: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
      <w:pPr>
        <w:rPr>
          <w:rFonts w:ascii="仿宋" w:hAnsi="仿宋" w:eastAsia="仿宋"/>
          <w:b/>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r>
        <w:rPr>
          <w:rFonts w:ascii="仿宋" w:hAnsi="仿宋" w:eastAsia="仿宋" w:cs="仿宋_GB2312"/>
          <w:b/>
          <w:bCs/>
          <w:color w:val="000000" w:themeColor="text1"/>
          <w:sz w:val="24"/>
          <w:szCs w:val="30"/>
          <w14:textFill>
            <w14:solidFill>
              <w14:schemeClr w14:val="tx1"/>
            </w14:solidFill>
          </w14:textFill>
        </w:rPr>
        <w:br w:type="page"/>
      </w:r>
    </w:p>
    <w:p>
      <w:pPr>
        <w:pStyle w:val="2"/>
        <w:sectPr>
          <w:footerReference r:id="rId3" w:type="default"/>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margin" w:tblpY="2265"/>
        <w:tblOverlap w:val="never"/>
        <w:tblW w:w="15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1" w:type="dxa"/>
            <w:vAlign w:val="center"/>
          </w:tcPr>
          <w:p>
            <w:pPr>
              <w:rPr>
                <w:rFonts w:ascii="黑体" w:hAnsi="黑体" w:eastAsia="黑体" w:cs="黑体"/>
                <w:sz w:val="24"/>
              </w:rPr>
            </w:pPr>
            <w:r>
              <w:rPr>
                <w:rFonts w:ascii="黑体" w:hAnsi="黑体" w:eastAsia="黑体" w:cs="黑体"/>
                <w:b w:val="0"/>
                <w:bCs w:val="0"/>
                <w:sz w:val="28"/>
                <w:szCs w:val="28"/>
              </w:rPr>
              <w:br w:type="page"/>
            </w:r>
            <w:r>
              <w:rPr>
                <w:rFonts w:hint="eastAsia" w:ascii="黑体" w:hAnsi="黑体" w:eastAsia="黑体" w:cs="黑体"/>
                <w:b w:val="0"/>
                <w:bCs w:val="0"/>
                <w:sz w:val="24"/>
              </w:rPr>
              <w:t>序号</w:t>
            </w:r>
          </w:p>
        </w:tc>
        <w:tc>
          <w:tcPr>
            <w:tcW w:w="2957"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内容</w:t>
            </w:r>
          </w:p>
        </w:tc>
        <w:tc>
          <w:tcPr>
            <w:tcW w:w="3000"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倒扣分</w:t>
            </w:r>
          </w:p>
        </w:tc>
        <w:tc>
          <w:tcPr>
            <w:tcW w:w="913"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选手编号</w:t>
            </w:r>
          </w:p>
        </w:tc>
        <w:tc>
          <w:tcPr>
            <w:tcW w:w="1520"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扣分原因</w:t>
            </w:r>
          </w:p>
        </w:tc>
        <w:tc>
          <w:tcPr>
            <w:tcW w:w="1060"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扣分值</w:t>
            </w:r>
          </w:p>
        </w:tc>
        <w:tc>
          <w:tcPr>
            <w:tcW w:w="2573"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选手签字</w:t>
            </w:r>
          </w:p>
        </w:tc>
        <w:tc>
          <w:tcPr>
            <w:tcW w:w="2471" w:type="dxa"/>
            <w:vAlign w:val="center"/>
          </w:tcPr>
          <w:p>
            <w:pPr>
              <w:pStyle w:val="5"/>
              <w:jc w:val="center"/>
              <w:rPr>
                <w:rFonts w:ascii="黑体" w:hAnsi="黑体" w:eastAsia="黑体" w:cs="黑体"/>
                <w:b w:val="0"/>
                <w:bCs w:val="0"/>
                <w:sz w:val="28"/>
                <w:szCs w:val="28"/>
              </w:rPr>
            </w:pPr>
            <w:r>
              <w:rPr>
                <w:rFonts w:hint="eastAsia" w:ascii="黑体" w:hAnsi="黑体" w:eastAsia="黑体" w:cs="黑体"/>
                <w:b w:val="0"/>
                <w:bCs w:val="0"/>
                <w:sz w:val="28"/>
                <w:szCs w:val="28"/>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76EC0"/>
    <w:rsid w:val="000935A9"/>
    <w:rsid w:val="000967BF"/>
    <w:rsid w:val="0009736E"/>
    <w:rsid w:val="000B5170"/>
    <w:rsid w:val="000F527B"/>
    <w:rsid w:val="00114840"/>
    <w:rsid w:val="0012533A"/>
    <w:rsid w:val="00134BC1"/>
    <w:rsid w:val="00152EDE"/>
    <w:rsid w:val="0016018D"/>
    <w:rsid w:val="00170138"/>
    <w:rsid w:val="001839A6"/>
    <w:rsid w:val="001938FF"/>
    <w:rsid w:val="00195F7F"/>
    <w:rsid w:val="001B6031"/>
    <w:rsid w:val="002028B1"/>
    <w:rsid w:val="002043CE"/>
    <w:rsid w:val="002118CD"/>
    <w:rsid w:val="00224D65"/>
    <w:rsid w:val="00240F5F"/>
    <w:rsid w:val="00244BF0"/>
    <w:rsid w:val="0025592E"/>
    <w:rsid w:val="00261A73"/>
    <w:rsid w:val="00266623"/>
    <w:rsid w:val="00280851"/>
    <w:rsid w:val="00283A2D"/>
    <w:rsid w:val="00293328"/>
    <w:rsid w:val="00297DCE"/>
    <w:rsid w:val="002A6594"/>
    <w:rsid w:val="002B1CE0"/>
    <w:rsid w:val="002C5F75"/>
    <w:rsid w:val="002D498C"/>
    <w:rsid w:val="002E7AE3"/>
    <w:rsid w:val="003262AA"/>
    <w:rsid w:val="00364A83"/>
    <w:rsid w:val="00387BD2"/>
    <w:rsid w:val="003A005A"/>
    <w:rsid w:val="003C7911"/>
    <w:rsid w:val="003D548B"/>
    <w:rsid w:val="003F38C7"/>
    <w:rsid w:val="00412A30"/>
    <w:rsid w:val="00413C90"/>
    <w:rsid w:val="00427A54"/>
    <w:rsid w:val="00427D2F"/>
    <w:rsid w:val="00443979"/>
    <w:rsid w:val="0047606C"/>
    <w:rsid w:val="004954A3"/>
    <w:rsid w:val="004E45A2"/>
    <w:rsid w:val="00542721"/>
    <w:rsid w:val="0054412B"/>
    <w:rsid w:val="00550222"/>
    <w:rsid w:val="005861BC"/>
    <w:rsid w:val="005A2545"/>
    <w:rsid w:val="005B3D81"/>
    <w:rsid w:val="005D3C87"/>
    <w:rsid w:val="005D75A0"/>
    <w:rsid w:val="00607722"/>
    <w:rsid w:val="0063199B"/>
    <w:rsid w:val="00644FA4"/>
    <w:rsid w:val="00652960"/>
    <w:rsid w:val="00672110"/>
    <w:rsid w:val="0068736B"/>
    <w:rsid w:val="006A3608"/>
    <w:rsid w:val="006B336C"/>
    <w:rsid w:val="006C3F34"/>
    <w:rsid w:val="006C754D"/>
    <w:rsid w:val="006F7CAC"/>
    <w:rsid w:val="007027AA"/>
    <w:rsid w:val="007173B8"/>
    <w:rsid w:val="007259F4"/>
    <w:rsid w:val="007344A6"/>
    <w:rsid w:val="007572BB"/>
    <w:rsid w:val="00757EE4"/>
    <w:rsid w:val="00763941"/>
    <w:rsid w:val="007704C7"/>
    <w:rsid w:val="007C1644"/>
    <w:rsid w:val="007C2F23"/>
    <w:rsid w:val="007C4B87"/>
    <w:rsid w:val="007D2F29"/>
    <w:rsid w:val="007E12DC"/>
    <w:rsid w:val="007F01EC"/>
    <w:rsid w:val="0082479C"/>
    <w:rsid w:val="00831AA2"/>
    <w:rsid w:val="008364C0"/>
    <w:rsid w:val="00844E52"/>
    <w:rsid w:val="008507F7"/>
    <w:rsid w:val="0086068F"/>
    <w:rsid w:val="00881444"/>
    <w:rsid w:val="0089363A"/>
    <w:rsid w:val="008A3243"/>
    <w:rsid w:val="008B3ED3"/>
    <w:rsid w:val="008B5098"/>
    <w:rsid w:val="008B5336"/>
    <w:rsid w:val="008B6B03"/>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921DE"/>
    <w:rsid w:val="009A23D2"/>
    <w:rsid w:val="009B520F"/>
    <w:rsid w:val="009B56F3"/>
    <w:rsid w:val="009B5AF5"/>
    <w:rsid w:val="009F5569"/>
    <w:rsid w:val="00A1039D"/>
    <w:rsid w:val="00A175C6"/>
    <w:rsid w:val="00A26E45"/>
    <w:rsid w:val="00A40AD5"/>
    <w:rsid w:val="00AA0045"/>
    <w:rsid w:val="00AA3C03"/>
    <w:rsid w:val="00AB1D77"/>
    <w:rsid w:val="00AB3F2B"/>
    <w:rsid w:val="00AB5A45"/>
    <w:rsid w:val="00AE78E4"/>
    <w:rsid w:val="00AF5044"/>
    <w:rsid w:val="00AF5EC4"/>
    <w:rsid w:val="00B008F0"/>
    <w:rsid w:val="00B069BC"/>
    <w:rsid w:val="00B1378E"/>
    <w:rsid w:val="00B200C9"/>
    <w:rsid w:val="00B46985"/>
    <w:rsid w:val="00B7212D"/>
    <w:rsid w:val="00BA255E"/>
    <w:rsid w:val="00BC782E"/>
    <w:rsid w:val="00BD32D5"/>
    <w:rsid w:val="00C23566"/>
    <w:rsid w:val="00C307A5"/>
    <w:rsid w:val="00C32AEF"/>
    <w:rsid w:val="00C51675"/>
    <w:rsid w:val="00C71EFC"/>
    <w:rsid w:val="00C906F4"/>
    <w:rsid w:val="00CA1BCC"/>
    <w:rsid w:val="00CC1030"/>
    <w:rsid w:val="00CC1FB3"/>
    <w:rsid w:val="00CF0F7C"/>
    <w:rsid w:val="00CF2623"/>
    <w:rsid w:val="00D045F2"/>
    <w:rsid w:val="00D11F58"/>
    <w:rsid w:val="00D207F6"/>
    <w:rsid w:val="00D35450"/>
    <w:rsid w:val="00D52112"/>
    <w:rsid w:val="00D86AB0"/>
    <w:rsid w:val="00D9128A"/>
    <w:rsid w:val="00DF633C"/>
    <w:rsid w:val="00E36F28"/>
    <w:rsid w:val="00E409BE"/>
    <w:rsid w:val="00E41B44"/>
    <w:rsid w:val="00E548C4"/>
    <w:rsid w:val="00E7038C"/>
    <w:rsid w:val="00EA4E02"/>
    <w:rsid w:val="00EA7809"/>
    <w:rsid w:val="00ED6C50"/>
    <w:rsid w:val="00F01DE0"/>
    <w:rsid w:val="00F10CF0"/>
    <w:rsid w:val="00F13DA9"/>
    <w:rsid w:val="00F3592E"/>
    <w:rsid w:val="00F451CF"/>
    <w:rsid w:val="00F46CE9"/>
    <w:rsid w:val="00F504E0"/>
    <w:rsid w:val="00FC2E4E"/>
    <w:rsid w:val="00FC40BB"/>
    <w:rsid w:val="00FC4E45"/>
    <w:rsid w:val="00FE33F2"/>
    <w:rsid w:val="00FF137D"/>
    <w:rsid w:val="012A0989"/>
    <w:rsid w:val="01695955"/>
    <w:rsid w:val="01CA216C"/>
    <w:rsid w:val="01D6561B"/>
    <w:rsid w:val="029D661C"/>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F996FAD"/>
    <w:rsid w:val="1FD91AA0"/>
    <w:rsid w:val="23CD36CA"/>
    <w:rsid w:val="245A2A83"/>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6F154C9"/>
    <w:rsid w:val="37222D9D"/>
    <w:rsid w:val="37A278A0"/>
    <w:rsid w:val="38437802"/>
    <w:rsid w:val="38D44DA9"/>
    <w:rsid w:val="3C6109FB"/>
    <w:rsid w:val="3E0930F8"/>
    <w:rsid w:val="3E1D4DF6"/>
    <w:rsid w:val="3F436335"/>
    <w:rsid w:val="3F655964"/>
    <w:rsid w:val="3FB35A12"/>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C6373D9"/>
    <w:rsid w:val="4C8F6EBF"/>
    <w:rsid w:val="4CB966A8"/>
    <w:rsid w:val="4E2B69F5"/>
    <w:rsid w:val="4E593C28"/>
    <w:rsid w:val="50553DF9"/>
    <w:rsid w:val="50E35A2B"/>
    <w:rsid w:val="527714DF"/>
    <w:rsid w:val="52E15E28"/>
    <w:rsid w:val="545304B1"/>
    <w:rsid w:val="547D43F4"/>
    <w:rsid w:val="54907EC0"/>
    <w:rsid w:val="55EE2EA8"/>
    <w:rsid w:val="5A3410A5"/>
    <w:rsid w:val="5AF32C10"/>
    <w:rsid w:val="5C003935"/>
    <w:rsid w:val="6074044E"/>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F405FB2"/>
    <w:rsid w:val="700F2694"/>
    <w:rsid w:val="70B5039E"/>
    <w:rsid w:val="70F74EAF"/>
    <w:rsid w:val="71152CAD"/>
    <w:rsid w:val="71283FD7"/>
    <w:rsid w:val="72084E9A"/>
    <w:rsid w:val="721D7B76"/>
    <w:rsid w:val="73A3131E"/>
    <w:rsid w:val="74286545"/>
    <w:rsid w:val="747F58E7"/>
    <w:rsid w:val="74B310ED"/>
    <w:rsid w:val="75A56DB5"/>
    <w:rsid w:val="764A5A81"/>
    <w:rsid w:val="7691545E"/>
    <w:rsid w:val="770863A3"/>
    <w:rsid w:val="7791148D"/>
    <w:rsid w:val="787A35EC"/>
    <w:rsid w:val="79A4194C"/>
    <w:rsid w:val="7A8A6D94"/>
    <w:rsid w:val="7B430CF1"/>
    <w:rsid w:val="7C7C44BA"/>
    <w:rsid w:val="7CB43035"/>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2794</Words>
  <Characters>2965</Characters>
  <Lines>23</Lines>
  <Paragraphs>6</Paragraphs>
  <TotalTime>67</TotalTime>
  <ScaleCrop>false</ScaleCrop>
  <LinksUpToDate>false</LinksUpToDate>
  <CharactersWithSpaces>2984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2023-04-15T09:13:00Z</dcterms:created>
  <dc:creator>20009</dc:creator>
  <cp:lastModifiedBy>Administrator</cp:lastModifiedBy>
  <cp:lastPrinted>2021-03-15T20:41:00Z</cp:lastPrinted>
  <dcterms:modified xsi:type="dcterms:W3CDTF">2023-04-18T02:26:50Z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